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40"/>
        <w:rPr>
          <w:lang w:val="pt-BR"/>
        </w:rPr>
      </w:pPr>
      <w:r>
        <w:rPr>
          <w:b/>
          <w:color w:val="111827"/>
          <w:sz w:val="40"/>
          <w:szCs w:val="40"/>
          <w:lang w:val="pt-BR"/>
        </w:rPr>
        <w:t>João Silva</w:t>
      </w:r>
    </w:p>
    <w:tbl>
      <w:tblPr>
        <w:tblW w:w="10000" w:type="dxa"/>
        <w:jc w:val="left"/>
        <w:tblInd w:w="0" w:type="dxa"/>
        <w:tblLayout w:type="fixed"/>
        <w:tblCellMar>
          <w:top w:w="0" w:type="dxa"/>
          <w:left w:w="0" w:type="dxa"/>
          <w:bottom w:w="30" w:type="dxa"/>
          <w:right w:w="0" w:type="dxa"/>
        </w:tblCellMar>
      </w:tblPr>
      <w:tblGrid>
        <w:gridCol w:w="5500"/>
        <w:gridCol w:w="4500"/>
      </w:tblGrid>
      <w:tr>
        <w:trPr/>
        <w:tc>
          <w:tcPr>
            <w:tcW w:w="5500" w:type="dxa"/>
            <w:tcBorders/>
          </w:tcPr>
          <w:p>
            <w:pPr>
              <w:pStyle w:val="Normal"/>
              <w:spacing w:before="0" w:after="20"/>
              <w:rPr>
                <w:lang w:val="pt-BR"/>
              </w:rPr>
            </w:pPr>
            <w:r>
              <w:rPr>
                <w:b/>
                <w:color w:val="4B5563"/>
                <w:sz w:val="19"/>
                <w:lang w:val="pt-BR"/>
              </w:rPr>
              <w:t xml:space="preserve">LinkedIn: </w:t>
            </w:r>
            <w:r>
              <w:rPr>
                <w:color w:val="1F2937"/>
                <w:sz w:val="19"/>
                <w:lang w:val="pt-BR"/>
              </w:rPr>
              <w:t>linkedin.com/in/joaosilva</w:t>
            </w:r>
          </w:p>
          <w:p>
            <w:pPr>
              <w:pStyle w:val="Normal"/>
              <w:spacing w:before="0" w:after="40"/>
              <w:rPr>
                <w:lang w:val="pt-BR"/>
              </w:rPr>
            </w:pPr>
            <w:r>
              <w:rPr>
                <w:b/>
                <w:color w:val="4B5563"/>
                <w:sz w:val="19"/>
                <w:lang w:val="pt-BR"/>
              </w:rPr>
              <w:t xml:space="preserve">GitHub: </w:t>
            </w:r>
            <w:r>
              <w:rPr>
                <w:color w:val="1F2937"/>
                <w:sz w:val="19"/>
                <w:lang w:val="pt-BR"/>
              </w:rPr>
              <w:t>github.com/joaosilva</w:t>
            </w:r>
          </w:p>
        </w:tc>
        <w:tc>
          <w:tcPr>
            <w:tcW w:w="4500" w:type="dxa"/>
            <w:tcBorders/>
          </w:tcPr>
          <w:p>
            <w:pPr>
              <w:pStyle w:val="Normal"/>
              <w:spacing w:before="0" w:after="20"/>
              <w:jc w:val="right"/>
              <w:rPr>
                <w:lang w:val="pt-BR"/>
              </w:rPr>
            </w:pPr>
            <w:r>
              <w:rPr>
                <w:b/>
                <w:color w:val="4B5563"/>
                <w:sz w:val="19"/>
                <w:lang w:val="pt-BR"/>
              </w:rPr>
              <w:t xml:space="preserve">E-mail: </w:t>
            </w:r>
            <w:r>
              <w:rPr>
                <w:color w:val="1F2937"/>
                <w:sz w:val="19"/>
                <w:lang w:val="pt-BR"/>
              </w:rPr>
              <w:t>joao.silva@exemplo.com</w:t>
            </w:r>
          </w:p>
          <w:p>
            <w:pPr>
              <w:pStyle w:val="Normal"/>
              <w:spacing w:before="0" w:after="40"/>
              <w:jc w:val="right"/>
              <w:rPr>
                <w:lang w:val="pt-BR"/>
              </w:rPr>
            </w:pPr>
            <w:r>
              <w:rPr>
                <w:b/>
                <w:color w:val="4B5563"/>
                <w:sz w:val="19"/>
                <w:lang w:val="pt-BR"/>
              </w:rPr>
              <w:t xml:space="preserve">Telefone: </w:t>
            </w:r>
            <w:r>
              <w:rPr>
                <w:color w:val="1F2937"/>
                <w:sz w:val="19"/>
                <w:lang w:val="pt-BR"/>
              </w:rPr>
              <w:t>+55 (11) 99999-9999</w:t>
            </w:r>
          </w:p>
        </w:tc>
      </w:tr>
    </w:tbl>
    <w:p>
      <w:pPr>
        <w:pStyle w:val="Normal"/>
        <w:pBdr>
          <w:bottom w:val="single" w:sz="12" w:space="4" w:color="111827"/>
        </w:pBdr>
        <w:spacing w:before="120" w:after="40"/>
        <w:rPr>
          <w:lang w:val="pt-BR"/>
        </w:rPr>
      </w:pPr>
      <w:r>
        <w:rPr>
          <w:b/>
          <w:color w:val="111827"/>
          <w:sz w:val="26"/>
          <w:szCs w:val="26"/>
          <w:lang w:val="pt-BR"/>
        </w:rPr>
        <w:t>Habilidades</w:t>
      </w:r>
    </w:p>
    <w:p>
      <w:pPr>
        <w:pStyle w:val="Normal"/>
        <w:spacing w:before="40" w:after="20"/>
        <w:rPr>
          <w:lang w:val="pt-BR"/>
        </w:rPr>
      </w:pPr>
      <w:r>
        <w:rPr>
          <w:b/>
          <w:sz w:val="20"/>
          <w:lang w:val="pt-BR"/>
        </w:rPr>
        <w:t xml:space="preserve">• </w:t>
      </w:r>
      <w:r>
        <w:rPr>
          <w:b/>
          <w:sz w:val="20"/>
          <w:lang w:val="pt-BR"/>
        </w:rPr>
        <w:t xml:space="preserve">Linguagens: </w:t>
      </w:r>
      <w:r>
        <w:rPr>
          <w:sz w:val="20"/>
          <w:lang w:val="pt-BR"/>
        </w:rPr>
        <w:t>Python, TypeScript, JavaScript, Go, PHP, SQL</w:t>
      </w:r>
    </w:p>
    <w:p>
      <w:pPr>
        <w:pStyle w:val="Normal"/>
        <w:spacing w:before="0" w:after="20"/>
        <w:rPr>
          <w:lang w:val="pt-BR"/>
        </w:rPr>
      </w:pPr>
      <w:r>
        <w:rPr>
          <w:b/>
          <w:sz w:val="20"/>
          <w:lang w:val="pt-BR"/>
        </w:rPr>
        <w:t xml:space="preserve">• </w:t>
      </w:r>
      <w:r>
        <w:rPr>
          <w:b/>
          <w:sz w:val="20"/>
          <w:lang w:val="pt-BR"/>
        </w:rPr>
        <w:t xml:space="preserve">Frameworks: </w:t>
      </w:r>
      <w:r>
        <w:rPr>
          <w:sz w:val="20"/>
          <w:lang w:val="pt-BR"/>
        </w:rPr>
        <w:t>FastAPI, Django, Flask, React, Next.js, Node.js, Nest.js</w:t>
      </w:r>
    </w:p>
    <w:p>
      <w:pPr>
        <w:pStyle w:val="Normal"/>
        <w:spacing w:before="0" w:after="20"/>
        <w:rPr>
          <w:lang w:val="pt-BR"/>
        </w:rPr>
      </w:pPr>
      <w:r>
        <w:rPr>
          <w:b/>
          <w:sz w:val="20"/>
          <w:lang w:val="pt-BR"/>
        </w:rPr>
        <w:t xml:space="preserve">• </w:t>
      </w:r>
      <w:r>
        <w:rPr>
          <w:b/>
          <w:sz w:val="20"/>
          <w:lang w:val="pt-BR"/>
        </w:rPr>
        <w:t xml:space="preserve">DevOps e CI/CD: </w:t>
      </w:r>
      <w:r>
        <w:rPr>
          <w:sz w:val="20"/>
          <w:lang w:val="pt-BR"/>
        </w:rPr>
        <w:t>Docker, Kubernetes, GitHub Actions, Terraform, Linux, Nginx</w:t>
      </w:r>
    </w:p>
    <w:p>
      <w:pPr>
        <w:pStyle w:val="Normal"/>
        <w:spacing w:before="0" w:after="20"/>
        <w:rPr>
          <w:lang w:val="pt-BR"/>
        </w:rPr>
      </w:pPr>
      <w:r>
        <w:rPr>
          <w:b/>
          <w:sz w:val="20"/>
          <w:lang w:val="pt-BR"/>
        </w:rPr>
        <w:t xml:space="preserve">• </w:t>
      </w:r>
      <w:r>
        <w:rPr>
          <w:b/>
          <w:sz w:val="20"/>
          <w:lang w:val="pt-BR"/>
        </w:rPr>
        <w:t xml:space="preserve">Bancos de Dados: </w:t>
      </w:r>
      <w:r>
        <w:rPr>
          <w:sz w:val="20"/>
          <w:lang w:val="pt-BR"/>
        </w:rPr>
        <w:t>PostgreSQL, MySQL, Redis, MongoDB, DynamoDB</w:t>
      </w:r>
    </w:p>
    <w:p>
      <w:pPr>
        <w:pStyle w:val="Normal"/>
        <w:spacing w:before="0" w:after="60"/>
        <w:rPr>
          <w:lang w:val="pt-BR"/>
        </w:rPr>
      </w:pPr>
      <w:r>
        <w:rPr>
          <w:b/>
          <w:sz w:val="20"/>
          <w:lang w:val="pt-BR"/>
        </w:rPr>
        <w:t xml:space="preserve">• </w:t>
      </w:r>
      <w:r>
        <w:rPr>
          <w:b/>
          <w:sz w:val="20"/>
          <w:lang w:val="pt-BR"/>
        </w:rPr>
        <w:t xml:space="preserve">Nuvem e Arquitetura: </w:t>
      </w:r>
      <w:r>
        <w:rPr>
          <w:sz w:val="20"/>
          <w:lang w:val="pt-BR"/>
        </w:rPr>
        <w:t>AWS, GCP, Microsserviços, Arquitetura Orientada a Eventos</w:t>
      </w:r>
    </w:p>
    <w:p>
      <w:pPr>
        <w:pStyle w:val="Normal"/>
        <w:pBdr>
          <w:bottom w:val="single" w:sz="12" w:space="4" w:color="111827"/>
        </w:pBdr>
        <w:spacing w:before="120" w:after="40"/>
        <w:rPr>
          <w:lang w:val="pt-BR"/>
        </w:rPr>
      </w:pPr>
      <w:r>
        <w:rPr>
          <w:b/>
          <w:color w:val="111827"/>
          <w:sz w:val="26"/>
          <w:szCs w:val="26"/>
          <w:lang w:val="pt-BR"/>
        </w:rPr>
        <w:t>Resumo Profissional</w:t>
      </w:r>
    </w:p>
    <w:p>
      <w:pPr>
        <w:pStyle w:val="Normal"/>
        <w:spacing w:before="40" w:after="80"/>
        <w:jc w:val="both"/>
        <w:rPr>
          <w:lang w:val="pt-BR"/>
        </w:rPr>
      </w:pPr>
      <w:r>
        <w:rPr>
          <w:sz w:val="20"/>
          <w:lang w:val="pt-BR"/>
        </w:rPr>
        <w:t>Engenheiro de Software Sênior com mais de 5 anos de experiência no desenvolvimento e escalabilidade de sistemas backend de alta performance e microsserviços distribuídos. Histórico comprovado de entrega de resultados mensuráveis, como redução de 25% na latência de APIs e automação de fluxos críticos de negócio. Focado em arquiteturas limpas, testes automatizados (unitários e e2e) e modernização de sistemas legados com alta disponibilidade (99,9% uptime).</w:t>
      </w:r>
    </w:p>
    <w:p>
      <w:pPr>
        <w:pStyle w:val="Normal"/>
        <w:pBdr>
          <w:bottom w:val="single" w:sz="12" w:space="4" w:color="111827"/>
        </w:pBdr>
        <w:spacing w:before="120" w:after="40"/>
        <w:rPr>
          <w:lang w:val="pt-BR"/>
        </w:rPr>
      </w:pPr>
      <w:r>
        <w:rPr>
          <w:b/>
          <w:color w:val="111827"/>
          <w:sz w:val="26"/>
          <w:szCs w:val="26"/>
          <w:lang w:val="pt-BR"/>
        </w:rPr>
        <w:t>Experiências Profissionais</w:t>
      </w:r>
    </w:p>
    <w:tbl>
      <w:tblPr>
        <w:tblW w:w="1000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0"/>
        <w:gridCol w:w="4000"/>
      </w:tblGrid>
      <w:tr>
        <w:trPr/>
        <w:tc>
          <w:tcPr>
            <w:tcW w:w="6000" w:type="dxa"/>
            <w:tcBorders/>
          </w:tcPr>
          <w:p>
            <w:pPr>
              <w:pStyle w:val="Normal"/>
              <w:spacing w:before="40" w:after="0"/>
              <w:rPr>
                <w:lang w:val="pt-BR"/>
              </w:rPr>
            </w:pPr>
            <w:r>
              <w:rPr>
                <w:b/>
                <w:color w:val="111827"/>
                <w:sz w:val="22"/>
                <w:lang w:val="pt-BR"/>
              </w:rPr>
              <w:t>Acme Cloud Technologies</w:t>
            </w:r>
          </w:p>
          <w:p>
            <w:pPr>
              <w:pStyle w:val="Normal"/>
              <w:spacing w:before="0" w:after="40"/>
              <w:rPr>
                <w:lang w:val="pt-BR"/>
              </w:rPr>
            </w:pPr>
            <w:r>
              <w:rPr>
                <w:i/>
                <w:color w:val="374151"/>
                <w:sz w:val="20"/>
                <w:lang w:val="pt-BR"/>
              </w:rPr>
              <w:t>Engenheiro Full Stack Sênior</w:t>
            </w:r>
          </w:p>
        </w:tc>
        <w:tc>
          <w:tcPr>
            <w:tcW w:w="4000" w:type="dxa"/>
            <w:tcBorders/>
          </w:tcPr>
          <w:p>
            <w:pPr>
              <w:pStyle w:val="Normal"/>
              <w:spacing w:before="40" w:after="0"/>
              <w:jc w:val="right"/>
              <w:rPr>
                <w:lang w:val="pt-BR"/>
              </w:rPr>
            </w:pPr>
            <w:r>
              <w:rPr>
                <w:color w:val="4B5563"/>
                <w:sz w:val="20"/>
                <w:lang w:val="pt-BR"/>
              </w:rPr>
              <w:t>São Paulo, SP (Remoto)</w:t>
            </w:r>
          </w:p>
          <w:p>
            <w:pPr>
              <w:pStyle w:val="Normal"/>
              <w:spacing w:before="0" w:after="40"/>
              <w:jc w:val="right"/>
              <w:rPr>
                <w:lang w:val="pt-BR"/>
              </w:rPr>
            </w:pPr>
            <w:r>
              <w:rPr>
                <w:color w:val="4B5563"/>
                <w:sz w:val="20"/>
                <w:lang w:val="pt-BR"/>
              </w:rPr>
              <w:t>Jul 2024 - Presente</w:t>
            </w:r>
          </w:p>
        </w:tc>
      </w:tr>
    </w:tbl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Aceleração de 90% na velocidade de configuração de telas com mixins reutilizáveis em Python/Django para clonagem profunda de entidades relacionais.</w:t>
      </w:r>
    </w:p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Eliminação de 100% do desperdício de tokens de APIs de IA em planos inativos via feature flags granulares com controle administrativo.</w:t>
      </w:r>
    </w:p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Automação integral da avaliação de código com pipeline de webhooks e microsserviço de correção automática por IA.</w:t>
      </w:r>
    </w:p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Redução de 90% no tempo de emissão de credenciais via API de validação de domínio e geração de certificados.</w:t>
      </w:r>
    </w:p>
    <w:p>
      <w:pPr>
        <w:pStyle w:val="Normal"/>
        <w:spacing w:before="20" w:after="80"/>
        <w:ind w:left="200"/>
        <w:rPr>
          <w:lang w:val="pt-BR"/>
        </w:rPr>
      </w:pPr>
      <w:r>
        <w:rPr>
          <w:b/>
          <w:color w:val="374151"/>
          <w:sz w:val="19"/>
          <w:lang w:val="pt-BR"/>
        </w:rPr>
        <w:t xml:space="preserve">• </w:t>
      </w:r>
      <w:r>
        <w:rPr>
          <w:b/>
          <w:color w:val="374151"/>
          <w:sz w:val="19"/>
          <w:lang w:val="pt-BR"/>
        </w:rPr>
        <w:t xml:space="preserve">Contexto: </w:t>
      </w:r>
      <w:r>
        <w:rPr>
          <w:i/>
          <w:color w:val="4B5563"/>
          <w:sz w:val="19"/>
          <w:lang w:val="pt-BR"/>
        </w:rPr>
        <w:t>Plataforma SaaS corporativa focada em microsserviços de alto volume. Construção de ferramentas internas e integrações que eliminaram operações manuais no ecossistema.</w:t>
      </w:r>
    </w:p>
    <w:tbl>
      <w:tblPr>
        <w:tblW w:w="1000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0"/>
        <w:gridCol w:w="4000"/>
      </w:tblGrid>
      <w:tr>
        <w:trPr/>
        <w:tc>
          <w:tcPr>
            <w:tcW w:w="6000" w:type="dxa"/>
            <w:tcBorders/>
          </w:tcPr>
          <w:p>
            <w:pPr>
              <w:pStyle w:val="Normal"/>
              <w:spacing w:before="60" w:after="0"/>
              <w:rPr>
                <w:lang w:val="pt-BR"/>
              </w:rPr>
            </w:pPr>
            <w:r>
              <w:rPr>
                <w:b/>
                <w:color w:val="111827"/>
                <w:sz w:val="22"/>
                <w:lang w:val="pt-BR"/>
              </w:rPr>
              <w:t>TechFlow Solutions</w:t>
            </w:r>
          </w:p>
          <w:p>
            <w:pPr>
              <w:pStyle w:val="Normal"/>
              <w:spacing w:before="0" w:after="40"/>
              <w:rPr>
                <w:lang w:val="pt-BR"/>
              </w:rPr>
            </w:pPr>
            <w:r>
              <w:rPr>
                <w:i/>
                <w:color w:val="374151"/>
                <w:sz w:val="20"/>
                <w:lang w:val="pt-BR"/>
              </w:rPr>
              <w:t>Engenheiro de Software Full Stack</w:t>
            </w:r>
          </w:p>
        </w:tc>
        <w:tc>
          <w:tcPr>
            <w:tcW w:w="4000" w:type="dxa"/>
            <w:tcBorders/>
          </w:tcPr>
          <w:p>
            <w:pPr>
              <w:pStyle w:val="Normal"/>
              <w:spacing w:before="60" w:after="0"/>
              <w:jc w:val="right"/>
              <w:rPr>
                <w:lang w:val="pt-BR"/>
              </w:rPr>
            </w:pPr>
            <w:r>
              <w:rPr>
                <w:color w:val="4B5563"/>
                <w:sz w:val="20"/>
                <w:lang w:val="pt-BR"/>
              </w:rPr>
              <w:t>Remoto</w:t>
            </w:r>
          </w:p>
          <w:p>
            <w:pPr>
              <w:pStyle w:val="Normal"/>
              <w:spacing w:before="0" w:after="40"/>
              <w:jc w:val="right"/>
              <w:rPr>
                <w:lang w:val="pt-BR"/>
              </w:rPr>
            </w:pPr>
            <w:r>
              <w:rPr>
                <w:color w:val="4B5563"/>
                <w:sz w:val="20"/>
                <w:lang w:val="pt-BR"/>
              </w:rPr>
              <w:t>Jul 2023 - Jun 2024</w:t>
            </w:r>
          </w:p>
        </w:tc>
      </w:tr>
    </w:tbl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Aumento de 15% na performance dos servidores por meio de otimizações de framework, pool de conexões de banco de dados e modernização de dependências.</w:t>
      </w:r>
    </w:p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Redução de 20% no tempo de feedback da esteira de CI/CD com paralelização de testes automatizados via pytest-xdist em containers Docker.</w:t>
      </w:r>
    </w:p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Diminuição de 20x no tempo de resposta de endpoints críticos através de otimização de queries SQL, eliminação de gargalos N+1 e paginação indexada.</w:t>
      </w:r>
    </w:p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Economia de R$ 60 mil anuais em infraestrutura com desativação de workers ociosos e migração para arquitetura de API sob demanda.</w:t>
      </w:r>
    </w:p>
    <w:p>
      <w:pPr>
        <w:pStyle w:val="Normal"/>
        <w:spacing w:before="20" w:after="80"/>
        <w:ind w:left="200"/>
        <w:rPr>
          <w:lang w:val="pt-BR"/>
        </w:rPr>
      </w:pPr>
      <w:r>
        <w:rPr>
          <w:b/>
          <w:color w:val="374151"/>
          <w:sz w:val="19"/>
          <w:lang w:val="pt-BR"/>
        </w:rPr>
        <w:t xml:space="preserve">• </w:t>
      </w:r>
      <w:r>
        <w:rPr>
          <w:b/>
          <w:color w:val="374151"/>
          <w:sz w:val="19"/>
          <w:lang w:val="pt-BR"/>
        </w:rPr>
        <w:t xml:space="preserve">Contexto: </w:t>
      </w:r>
      <w:r>
        <w:rPr>
          <w:i/>
          <w:color w:val="4B5563"/>
          <w:sz w:val="19"/>
          <w:lang w:val="pt-BR"/>
        </w:rPr>
        <w:t>Foco em confiabilidade e engenharia de performance backend — modernização de serviços legados e otimização de consultas no PostgreSQL.</w:t>
      </w:r>
    </w:p>
    <w:tbl>
      <w:tblPr>
        <w:tblW w:w="1000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0"/>
        <w:gridCol w:w="4000"/>
      </w:tblGrid>
      <w:tr>
        <w:trPr/>
        <w:tc>
          <w:tcPr>
            <w:tcW w:w="6000" w:type="dxa"/>
            <w:tcBorders/>
          </w:tcPr>
          <w:p>
            <w:pPr>
              <w:pStyle w:val="Normal"/>
              <w:spacing w:before="60" w:after="0"/>
              <w:rPr>
                <w:lang w:val="pt-BR"/>
              </w:rPr>
            </w:pPr>
            <w:r>
              <w:rPr>
                <w:b/>
                <w:color w:val="111827"/>
                <w:sz w:val="22"/>
                <w:lang w:val="pt-BR"/>
              </w:rPr>
              <w:t>Nova Digital Labs</w:t>
            </w:r>
          </w:p>
          <w:p>
            <w:pPr>
              <w:pStyle w:val="Normal"/>
              <w:spacing w:before="0" w:after="40"/>
              <w:rPr>
                <w:lang w:val="pt-BR"/>
              </w:rPr>
            </w:pPr>
            <w:r>
              <w:rPr>
                <w:i/>
                <w:color w:val="374151"/>
                <w:sz w:val="20"/>
                <w:lang w:val="pt-BR"/>
              </w:rPr>
              <w:t>Desenvolvedor Backend</w:t>
            </w:r>
          </w:p>
        </w:tc>
        <w:tc>
          <w:tcPr>
            <w:tcW w:w="4000" w:type="dxa"/>
            <w:tcBorders/>
          </w:tcPr>
          <w:p>
            <w:pPr>
              <w:pStyle w:val="Normal"/>
              <w:spacing w:before="60" w:after="0"/>
              <w:jc w:val="right"/>
              <w:rPr>
                <w:lang w:val="pt-BR"/>
              </w:rPr>
            </w:pPr>
            <w:r>
              <w:rPr>
                <w:color w:val="4B5563"/>
                <w:sz w:val="20"/>
                <w:lang w:val="pt-BR"/>
              </w:rPr>
              <w:t>São Paulo, SP</w:t>
            </w:r>
          </w:p>
          <w:p>
            <w:pPr>
              <w:pStyle w:val="Normal"/>
              <w:spacing w:before="0" w:after="40"/>
              <w:jc w:val="right"/>
              <w:rPr>
                <w:lang w:val="pt-BR"/>
              </w:rPr>
            </w:pPr>
            <w:r>
              <w:rPr>
                <w:color w:val="4B5563"/>
                <w:sz w:val="20"/>
                <w:lang w:val="pt-BR"/>
              </w:rPr>
              <w:t>Jun 2022 - Jun 2023</w:t>
            </w:r>
          </w:p>
        </w:tc>
      </w:tr>
    </w:tbl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Blindagem da superfície de ataque da aplicação com bloqueio de robôs maliciosos e varreduras de vulnerabilidades na camada do proxy reverso Nginx.</w:t>
      </w:r>
    </w:p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Mitigação de 100% das perdas de leads por instabilidade de rede via desacoplamento de sincronizações de CRM em workers assíncronos Celery com retry exponencial.</w:t>
      </w:r>
    </w:p>
    <w:p>
      <w:pPr>
        <w:pStyle w:val="Normal"/>
        <w:spacing w:before="0" w:after="30"/>
        <w:ind w:hanging="240" w:left="360"/>
        <w:rPr>
          <w:lang w:val="pt-BR"/>
        </w:rPr>
      </w:pPr>
      <w:r>
        <w:rPr>
          <w:sz w:val="20"/>
          <w:lang w:val="pt-BR"/>
        </w:rPr>
        <w:t xml:space="preserve">• </w:t>
      </w:r>
      <w:r>
        <w:rPr>
          <w:sz w:val="20"/>
          <w:lang w:val="pt-BR"/>
        </w:rPr>
        <w:t>Redução de 80% na latência de resposta do feed por meio de cache de resultados com Redis.</w:t>
      </w:r>
    </w:p>
    <w:p>
      <w:pPr>
        <w:pStyle w:val="Normal"/>
        <w:spacing w:before="20" w:after="80"/>
        <w:ind w:left="200"/>
        <w:rPr>
          <w:lang w:val="pt-BR"/>
        </w:rPr>
      </w:pPr>
      <w:r>
        <w:rPr>
          <w:b/>
          <w:color w:val="374151"/>
          <w:sz w:val="19"/>
          <w:lang w:val="pt-BR"/>
        </w:rPr>
        <w:t xml:space="preserve">• </w:t>
      </w:r>
      <w:r>
        <w:rPr>
          <w:b/>
          <w:color w:val="374151"/>
          <w:sz w:val="19"/>
          <w:lang w:val="pt-BR"/>
        </w:rPr>
        <w:t xml:space="preserve">Contexto: </w:t>
      </w:r>
      <w:r>
        <w:rPr>
          <w:i/>
          <w:color w:val="4B5563"/>
          <w:sz w:val="19"/>
          <w:lang w:val="pt-BR"/>
        </w:rPr>
        <w:t>Desenvolvimento de funcionalidades backend e integrações arquiteturais entre microsserviços com alta cobertura de testes e observabilidade.</w:t>
      </w:r>
    </w:p>
    <w:p>
      <w:pPr>
        <w:pStyle w:val="Normal"/>
        <w:pBdr>
          <w:bottom w:val="single" w:sz="12" w:space="4" w:color="111827"/>
        </w:pBdr>
        <w:spacing w:before="120" w:after="40"/>
        <w:rPr>
          <w:lang w:val="pt-BR"/>
        </w:rPr>
      </w:pPr>
      <w:r>
        <w:rPr>
          <w:b/>
          <w:color w:val="111827"/>
          <w:sz w:val="26"/>
          <w:szCs w:val="26"/>
          <w:lang w:val="pt-BR"/>
        </w:rPr>
        <w:t>Formação Acadêmica</w:t>
      </w:r>
    </w:p>
    <w:tbl>
      <w:tblPr>
        <w:tblW w:w="10000" w:type="dxa"/>
        <w:jc w:val="left"/>
        <w:tblInd w:w="0" w:type="dxa"/>
        <w:tblLayout w:type="fixed"/>
        <w:tblCellMar>
          <w:top w:w="0" w:type="dxa"/>
          <w:left w:w="0" w:type="dxa"/>
          <w:bottom w:w="20" w:type="dxa"/>
          <w:right w:w="0" w:type="dxa"/>
        </w:tblCellMar>
      </w:tblPr>
      <w:tblGrid>
        <w:gridCol w:w="6500"/>
        <w:gridCol w:w="3500"/>
      </w:tblGrid>
      <w:tr>
        <w:trPr/>
        <w:tc>
          <w:tcPr>
            <w:tcW w:w="6500" w:type="dxa"/>
            <w:tcBorders/>
          </w:tcPr>
          <w:p>
            <w:pPr>
              <w:pStyle w:val="Normal"/>
              <w:spacing w:before="40" w:after="0"/>
              <w:rPr>
                <w:lang w:val="pt-BR"/>
              </w:rPr>
            </w:pPr>
            <w:r>
              <w:rPr>
                <w:b/>
                <w:color w:val="111827"/>
                <w:sz w:val="21"/>
                <w:lang w:val="pt-BR"/>
              </w:rPr>
              <w:t>Instituto de Tecnologia e Ciência</w:t>
            </w:r>
          </w:p>
          <w:p>
            <w:pPr>
              <w:pStyle w:val="Normal"/>
              <w:spacing w:before="0" w:after="40"/>
              <w:rPr>
                <w:lang w:val="pt-BR"/>
              </w:rPr>
            </w:pPr>
            <w:r>
              <w:rPr>
                <w:i/>
                <w:color w:val="4B5563"/>
                <w:sz w:val="20"/>
                <w:lang w:val="pt-BR"/>
              </w:rPr>
              <w:t>Mestrado em Engenharia de Software e IA</w:t>
            </w:r>
          </w:p>
        </w:tc>
        <w:tc>
          <w:tcPr>
            <w:tcW w:w="3500" w:type="dxa"/>
            <w:tcBorders/>
          </w:tcPr>
          <w:p>
            <w:pPr>
              <w:pStyle w:val="Normal"/>
              <w:spacing w:before="40" w:after="0"/>
              <w:jc w:val="right"/>
              <w:rPr>
                <w:lang w:val="pt-BR"/>
              </w:rPr>
            </w:pPr>
            <w:r>
              <w:rPr>
                <w:color w:val="4B5563"/>
                <w:sz w:val="20"/>
                <w:lang w:val="pt-BR"/>
              </w:rPr>
              <w:t>Ago 2024 - Dez 2025</w:t>
            </w:r>
          </w:p>
        </w:tc>
      </w:tr>
      <w:tr>
        <w:trPr/>
        <w:tc>
          <w:tcPr>
            <w:tcW w:w="6500" w:type="dxa"/>
            <w:tcBorders/>
          </w:tcPr>
          <w:p>
            <w:pPr>
              <w:pStyle w:val="Normal"/>
              <w:spacing w:before="40" w:after="0"/>
              <w:rPr>
                <w:lang w:val="pt-BR"/>
              </w:rPr>
            </w:pPr>
            <w:r>
              <w:rPr>
                <w:b/>
                <w:color w:val="111827"/>
                <w:sz w:val="21"/>
                <w:lang w:val="pt-BR"/>
              </w:rPr>
              <w:t>Universidade Estadual de Tecnologia</w:t>
            </w:r>
          </w:p>
          <w:p>
            <w:pPr>
              <w:pStyle w:val="Normal"/>
              <w:spacing w:before="0" w:after="40"/>
              <w:rPr>
                <w:lang w:val="pt-BR"/>
              </w:rPr>
            </w:pPr>
            <w:r>
              <w:rPr>
                <w:i/>
                <w:color w:val="4B5563"/>
                <w:sz w:val="20"/>
                <w:lang w:val="pt-BR"/>
              </w:rPr>
              <w:t>Bacharelado em Ciência da Computação</w:t>
            </w:r>
          </w:p>
        </w:tc>
        <w:tc>
          <w:tcPr>
            <w:tcW w:w="3500" w:type="dxa"/>
            <w:tcBorders/>
          </w:tcPr>
          <w:p>
            <w:pPr>
              <w:pStyle w:val="Normal"/>
              <w:spacing w:before="40" w:after="0"/>
              <w:jc w:val="right"/>
              <w:rPr>
                <w:lang w:val="pt-BR"/>
              </w:rPr>
            </w:pPr>
            <w:r>
              <w:rPr>
                <w:color w:val="4B5563"/>
                <w:sz w:val="20"/>
                <w:lang w:val="pt-BR"/>
              </w:rPr>
              <w:t>Jan 2020 - Jun 2024</w:t>
            </w:r>
          </w:p>
        </w:tc>
      </w:tr>
    </w:tbl>
    <w:sectPr>
      <w:type w:val="nextPage"/>
      <w:pgSz w:w="12240" w:h="15840"/>
      <w:pgMar w:left="936" w:right="936" w:gutter="0" w:header="0" w:top="936" w:footer="0" w:bottom="93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SimSun" w:cs="Arial"/>
        <w:color w:val="222222"/>
        <w:sz w:val="21"/>
        <w:szCs w:val="21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62" w:before="0" w:after="80"/>
      <w:jc w:val="left"/>
    </w:pPr>
    <w:rPr>
      <w:rFonts w:ascii="Arial" w:hAnsi="Arial" w:eastAsia="NSimSun" w:cs="Arial"/>
      <w:color w:val="222222"/>
      <w:kern w:val="0"/>
      <w:sz w:val="21"/>
      <w:szCs w:val="21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505</Words>
  <Characters>2926</Characters>
  <CharactersWithSpaces>3385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2026-08-19T16:23:33Z</dcterms:modified>
  <cp:revision>1</cp:revision>
  <dc:subject/>
  <dc:title/>
</cp:coreProperties>
</file>